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B0" w:rsidRPr="00F92353" w:rsidRDefault="00F018B0" w:rsidP="00CD6D9A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42"/>
          <w:szCs w:val="44"/>
        </w:rPr>
      </w:pPr>
      <w:r w:rsidRPr="00F92353">
        <w:rPr>
          <w:rFonts w:cs="TimesNewRoman,Bold"/>
          <w:b/>
          <w:bCs/>
          <w:sz w:val="42"/>
          <w:szCs w:val="44"/>
        </w:rPr>
        <w:t xml:space="preserve">Bloomfield </w:t>
      </w:r>
      <w:r w:rsidRPr="00F92353">
        <w:rPr>
          <w:rFonts w:cs="TimesNewRomanPS-BoldMT"/>
          <w:b/>
          <w:bCs/>
          <w:sz w:val="42"/>
          <w:szCs w:val="44"/>
        </w:rPr>
        <w:t>Mentoring Partnership Agreement</w:t>
      </w:r>
    </w:p>
    <w:p w:rsidR="00CD6D9A" w:rsidRPr="00CD6D9A" w:rsidRDefault="00CD6D9A" w:rsidP="00CD6D9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8"/>
        </w:rPr>
      </w:pPr>
      <w:r w:rsidRPr="00CD6D9A">
        <w:rPr>
          <w:rFonts w:ascii="TimesNewRomanPS-BoldMT" w:hAnsi="TimesNewRomanPS-BoldMT" w:cs="TimesNewRomanPS-BoldMT"/>
          <w:bCs/>
          <w:sz w:val="24"/>
          <w:szCs w:val="28"/>
        </w:rPr>
        <w:t>We have agreed on the following goals and objectives and the focus of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8"/>
        </w:rPr>
      </w:pPr>
      <w:proofErr w:type="gramStart"/>
      <w:r w:rsidRPr="00CD6D9A">
        <w:rPr>
          <w:rFonts w:ascii="TimesNewRomanPS-BoldMT" w:hAnsi="TimesNewRomanPS-BoldMT" w:cs="TimesNewRomanPS-BoldMT"/>
          <w:bCs/>
          <w:sz w:val="24"/>
          <w:szCs w:val="28"/>
        </w:rPr>
        <w:t>this</w:t>
      </w:r>
      <w:proofErr w:type="gramEnd"/>
      <w:r w:rsidRPr="00CD6D9A">
        <w:rPr>
          <w:rFonts w:ascii="TimesNewRomanPS-BoldMT" w:hAnsi="TimesNewRomanPS-BoldMT" w:cs="TimesNewRomanPS-BoldMT"/>
          <w:bCs/>
          <w:sz w:val="24"/>
          <w:szCs w:val="28"/>
        </w:rPr>
        <w:t xml:space="preserve"> mentoring relationship:</w:t>
      </w:r>
    </w:p>
    <w:p w:rsidR="00CD6D9A" w:rsidRPr="00CD6D9A" w:rsidRDefault="00CD6D9A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D6D9A" w:rsidTr="00CD6D9A">
        <w:trPr>
          <w:trHeight w:val="441"/>
        </w:trPr>
        <w:tc>
          <w:tcPr>
            <w:tcW w:w="9576" w:type="dxa"/>
          </w:tcPr>
          <w:p w:rsidR="00CD6D9A" w:rsidRPr="00CD6D9A" w:rsidRDefault="00CD6D9A" w:rsidP="00CD6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</w:pPr>
            <w:r w:rsidRPr="00CD6D9A"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  <w:t>1.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CD6D9A" w:rsidTr="00CD6D9A">
        <w:trPr>
          <w:trHeight w:val="441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CD6D9A" w:rsidRDefault="00CD6D9A" w:rsidP="00F01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  <w:t>2.</w:t>
            </w:r>
          </w:p>
        </w:tc>
      </w:tr>
      <w:tr w:rsidR="00CD6D9A" w:rsidTr="00CD6D9A">
        <w:trPr>
          <w:trHeight w:val="441"/>
        </w:trPr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6D9A" w:rsidRDefault="00CD6D9A" w:rsidP="00F01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  <w:t>3.</w:t>
            </w:r>
          </w:p>
        </w:tc>
      </w:tr>
      <w:tr w:rsidR="006728F3" w:rsidTr="00CD194F">
        <w:trPr>
          <w:trHeight w:val="441"/>
        </w:trPr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8F3" w:rsidRDefault="006728F3" w:rsidP="00CD19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  <w:t>4.</w:t>
            </w:r>
          </w:p>
        </w:tc>
      </w:tr>
    </w:tbl>
    <w:p w:rsidR="006728F3" w:rsidRDefault="006728F3" w:rsidP="006728F3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 w:val="24"/>
          <w:szCs w:val="28"/>
        </w:rPr>
      </w:pPr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>We have discussed the way in which we will work together, develop,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 w:val="24"/>
          <w:szCs w:val="28"/>
        </w:rPr>
      </w:pPr>
      <w:proofErr w:type="gramStart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>and</w:t>
      </w:r>
      <w:proofErr w:type="gramEnd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>, in that same spirit of partnership, collaborate on the development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 w:val="24"/>
          <w:szCs w:val="28"/>
        </w:rPr>
      </w:pPr>
      <w:proofErr w:type="gramStart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>of</w:t>
      </w:r>
      <w:proofErr w:type="gramEnd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 xml:space="preserve"> a work plan. In order to ensure that our relationship is a mutually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 w:val="24"/>
          <w:szCs w:val="28"/>
        </w:rPr>
      </w:pPr>
      <w:proofErr w:type="gramStart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>rewarding</w:t>
      </w:r>
      <w:proofErr w:type="gramEnd"/>
      <w:r w:rsidRPr="00CD6D9A">
        <w:rPr>
          <w:rFonts w:ascii="TimesNewRomanPS-BoldMT" w:hAnsi="TimesNewRomanPS-BoldMT" w:cs="TimesNewRomanPS-BoldMT"/>
          <w:bCs/>
          <w:i/>
          <w:sz w:val="24"/>
          <w:szCs w:val="28"/>
        </w:rPr>
        <w:t xml:space="preserve"> and satisfying experience for both of us, we agree to:</w:t>
      </w:r>
    </w:p>
    <w:p w:rsidR="00CD6D9A" w:rsidRDefault="00CD6D9A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r w:rsidRPr="00CD6D9A">
        <w:rPr>
          <w:rFonts w:ascii="Calibri-Bold" w:hAnsi="Calibri-Bold" w:cs="Calibri-Bold"/>
          <w:bCs/>
          <w:sz w:val="24"/>
          <w:szCs w:val="28"/>
        </w:rPr>
        <w:t xml:space="preserve">1. </w:t>
      </w:r>
      <w:r w:rsidR="00CD6D9A" w:rsidRPr="00CD6D9A">
        <w:rPr>
          <w:rFonts w:ascii="Calibri-Bold" w:hAnsi="Calibri-Bold" w:cs="Calibri-Bold"/>
          <w:bCs/>
          <w:sz w:val="24"/>
          <w:szCs w:val="28"/>
        </w:rPr>
        <w:t>Meet regularly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r w:rsidRPr="00CD6D9A">
        <w:rPr>
          <w:rFonts w:ascii="Calibri-Bold" w:hAnsi="Calibri-Bold" w:cs="Calibri-Bold"/>
          <w:bCs/>
          <w:i/>
          <w:sz w:val="24"/>
          <w:szCs w:val="28"/>
        </w:rPr>
        <w:t>Our specific schedule of contact and meetings, including additional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proofErr w:type="gramStart"/>
      <w:r w:rsidRPr="00CD6D9A">
        <w:rPr>
          <w:rFonts w:ascii="Calibri-Bold" w:hAnsi="Calibri-Bold" w:cs="Calibri-Bold"/>
          <w:bCs/>
          <w:i/>
          <w:sz w:val="24"/>
          <w:szCs w:val="28"/>
        </w:rPr>
        <w:t>meetings</w:t>
      </w:r>
      <w:proofErr w:type="gramEnd"/>
      <w:r w:rsidRPr="00CD6D9A">
        <w:rPr>
          <w:rFonts w:ascii="Calibri-Bold" w:hAnsi="Calibri-Bold" w:cs="Calibri-Bold"/>
          <w:bCs/>
          <w:i/>
          <w:sz w:val="24"/>
          <w:szCs w:val="28"/>
        </w:rPr>
        <w:t>, is as follows:</w:t>
      </w:r>
    </w:p>
    <w:tbl>
      <w:tblPr>
        <w:tblStyle w:val="TableGrid"/>
        <w:tblW w:w="0" w:type="auto"/>
        <w:tblLook w:val="04A0"/>
      </w:tblPr>
      <w:tblGrid>
        <w:gridCol w:w="9531"/>
      </w:tblGrid>
      <w:tr w:rsidR="004855AE" w:rsidTr="006728F3">
        <w:trPr>
          <w:trHeight w:val="2033"/>
        </w:trPr>
        <w:tc>
          <w:tcPr>
            <w:tcW w:w="9531" w:type="dxa"/>
          </w:tcPr>
          <w:p w:rsidR="004855AE" w:rsidRDefault="004855AE" w:rsidP="00F018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</w:p>
        </w:tc>
      </w:tr>
    </w:tbl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r w:rsidRPr="00CD6D9A">
        <w:rPr>
          <w:rFonts w:ascii="Calibri-Bold" w:hAnsi="Calibri-Bold" w:cs="Calibri-Bold"/>
          <w:bCs/>
          <w:sz w:val="24"/>
          <w:szCs w:val="28"/>
        </w:rPr>
        <w:t>2. Look for multiple opportunities and experiences to enhance the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proofErr w:type="gramStart"/>
      <w:r w:rsidRPr="00CD6D9A">
        <w:rPr>
          <w:rFonts w:ascii="Calibri-Bold" w:hAnsi="Calibri-Bold" w:cs="Calibri-Bold"/>
          <w:bCs/>
          <w:sz w:val="24"/>
          <w:szCs w:val="28"/>
        </w:rPr>
        <w:t>mentee’s</w:t>
      </w:r>
      <w:proofErr w:type="gramEnd"/>
      <w:r w:rsidRPr="00CD6D9A">
        <w:rPr>
          <w:rFonts w:ascii="Calibri-Bold" w:hAnsi="Calibri-Bold" w:cs="Calibri-Bold"/>
          <w:bCs/>
          <w:sz w:val="24"/>
          <w:szCs w:val="28"/>
        </w:rPr>
        <w:t xml:space="preserve"> learning.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r w:rsidRPr="00CD6D9A">
        <w:rPr>
          <w:rFonts w:ascii="Calibri-Bold" w:hAnsi="Calibri-Bold" w:cs="Calibri-Bold"/>
          <w:bCs/>
          <w:i/>
          <w:sz w:val="24"/>
          <w:szCs w:val="28"/>
        </w:rPr>
        <w:t>We have identified, and will commit to, the following specific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proofErr w:type="gramStart"/>
      <w:r w:rsidRPr="00CD6D9A">
        <w:rPr>
          <w:rFonts w:ascii="Calibri-Bold" w:hAnsi="Calibri-Bold" w:cs="Calibri-Bold"/>
          <w:bCs/>
          <w:i/>
          <w:sz w:val="24"/>
          <w:szCs w:val="28"/>
        </w:rPr>
        <w:t>opportunities</w:t>
      </w:r>
      <w:proofErr w:type="gramEnd"/>
      <w:r w:rsidRPr="00CD6D9A">
        <w:rPr>
          <w:rFonts w:ascii="Calibri-Bold" w:hAnsi="Calibri-Bold" w:cs="Calibri-Bold"/>
          <w:bCs/>
          <w:i/>
          <w:sz w:val="24"/>
          <w:szCs w:val="28"/>
        </w:rPr>
        <w:t xml:space="preserve"> and venues for learning: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28F3" w:rsidTr="006728F3">
        <w:trPr>
          <w:trHeight w:val="2105"/>
        </w:trPr>
        <w:tc>
          <w:tcPr>
            <w:tcW w:w="9576" w:type="dxa"/>
          </w:tcPr>
          <w:p w:rsidR="006728F3" w:rsidRDefault="006728F3" w:rsidP="00F018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</w:p>
        </w:tc>
      </w:tr>
    </w:tbl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8"/>
        </w:rPr>
      </w:pPr>
      <w:r w:rsidRPr="00CD6D9A">
        <w:rPr>
          <w:rFonts w:ascii="Calibri-Bold" w:hAnsi="Calibri-Bold" w:cs="Calibri-Bold"/>
          <w:bCs/>
          <w:sz w:val="24"/>
          <w:szCs w:val="28"/>
        </w:rPr>
        <w:t>3. Maintain confidentiality of our relationship</w:t>
      </w:r>
      <w:r w:rsidRPr="00CD6D9A">
        <w:rPr>
          <w:rFonts w:ascii="Calibri-Bold" w:hAnsi="Calibri-Bold" w:cs="Calibri-Bold"/>
          <w:b/>
          <w:bCs/>
          <w:sz w:val="24"/>
          <w:szCs w:val="28"/>
        </w:rPr>
        <w:t>.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r w:rsidRPr="00CD6D9A">
        <w:rPr>
          <w:rFonts w:ascii="Calibri-Bold" w:hAnsi="Calibri-Bold" w:cs="Calibri-Bold"/>
          <w:bCs/>
          <w:i/>
          <w:sz w:val="24"/>
          <w:szCs w:val="28"/>
        </w:rPr>
        <w:t>Confidentiality for us means…….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28F3" w:rsidTr="006728F3">
        <w:trPr>
          <w:trHeight w:val="1610"/>
        </w:trPr>
        <w:tc>
          <w:tcPr>
            <w:tcW w:w="9576" w:type="dxa"/>
          </w:tcPr>
          <w:p w:rsidR="006728F3" w:rsidRDefault="006728F3" w:rsidP="00F018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</w:p>
        </w:tc>
      </w:tr>
    </w:tbl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r w:rsidRPr="00CD6D9A">
        <w:rPr>
          <w:rFonts w:ascii="Calibri-Bold" w:hAnsi="Calibri-Bold" w:cs="Calibri-Bold"/>
          <w:bCs/>
          <w:sz w:val="24"/>
          <w:szCs w:val="28"/>
        </w:rPr>
        <w:t>4. Honor the ground rules we have developed for the relationship.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i/>
          <w:sz w:val="24"/>
          <w:szCs w:val="28"/>
        </w:rPr>
      </w:pPr>
      <w:r w:rsidRPr="00CD6D9A">
        <w:rPr>
          <w:rFonts w:ascii="Calibri-Bold" w:hAnsi="Calibri-Bold" w:cs="Calibri-Bold"/>
          <w:bCs/>
          <w:i/>
          <w:sz w:val="24"/>
          <w:szCs w:val="28"/>
        </w:rPr>
        <w:t>Our ground rules will be…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28F3" w:rsidTr="006728F3">
        <w:trPr>
          <w:trHeight w:val="2132"/>
        </w:trPr>
        <w:tc>
          <w:tcPr>
            <w:tcW w:w="9576" w:type="dxa"/>
          </w:tcPr>
          <w:p w:rsidR="006728F3" w:rsidRDefault="006728F3" w:rsidP="00F018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</w:p>
        </w:tc>
      </w:tr>
    </w:tbl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r w:rsidRPr="00CD6D9A">
        <w:rPr>
          <w:rFonts w:ascii="Calibri-Bold" w:hAnsi="Calibri-Bold" w:cs="Calibri-Bold"/>
          <w:bCs/>
          <w:sz w:val="24"/>
          <w:szCs w:val="28"/>
        </w:rPr>
        <w:t>5. Provide regular feedback to each other and evaluate progress. We</w:t>
      </w: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sz w:val="24"/>
          <w:szCs w:val="28"/>
        </w:rPr>
      </w:pPr>
      <w:proofErr w:type="gramStart"/>
      <w:r w:rsidRPr="00CD6D9A">
        <w:rPr>
          <w:rFonts w:ascii="Calibri-Bold" w:hAnsi="Calibri-Bold" w:cs="Calibri-Bold"/>
          <w:bCs/>
          <w:sz w:val="24"/>
          <w:szCs w:val="28"/>
        </w:rPr>
        <w:t>will</w:t>
      </w:r>
      <w:proofErr w:type="gramEnd"/>
      <w:r w:rsidRPr="00CD6D9A">
        <w:rPr>
          <w:rFonts w:ascii="Calibri-Bold" w:hAnsi="Calibri-Bold" w:cs="Calibri-Bold"/>
          <w:bCs/>
          <w:sz w:val="24"/>
          <w:szCs w:val="28"/>
        </w:rPr>
        <w:t xml:space="preserve"> accomplish this by…..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28F3" w:rsidTr="006728F3">
        <w:trPr>
          <w:trHeight w:val="1943"/>
        </w:trPr>
        <w:tc>
          <w:tcPr>
            <w:tcW w:w="9576" w:type="dxa"/>
          </w:tcPr>
          <w:p w:rsidR="006728F3" w:rsidRDefault="006728F3" w:rsidP="00F01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8"/>
              </w:rPr>
            </w:pPr>
          </w:p>
        </w:tc>
      </w:tr>
    </w:tbl>
    <w:p w:rsidR="00CD6D9A" w:rsidRDefault="00CD6D9A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CD6D9A" w:rsidRDefault="00CD6D9A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CD6D9A" w:rsidRDefault="00CD6D9A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6728F3" w:rsidRDefault="006728F3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CD6D9A" w:rsidRDefault="00CD6D9A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F018B0" w:rsidRPr="00CD6D9A" w:rsidRDefault="00F018B0" w:rsidP="00F018B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  <w:r w:rsidRPr="00CD6D9A">
        <w:rPr>
          <w:rFonts w:ascii="TimesNewRomanPS-BoldMT" w:hAnsi="TimesNewRomanPS-BoldMT" w:cs="TimesNewRomanPS-BoldMT"/>
          <w:b/>
          <w:bCs/>
          <w:sz w:val="24"/>
          <w:szCs w:val="28"/>
        </w:rPr>
        <w:t>______________________________</w:t>
      </w:r>
      <w:r w:rsidR="00CD6D9A">
        <w:rPr>
          <w:rFonts w:ascii="TimesNewRomanPS-BoldMT" w:hAnsi="TimesNewRomanPS-BoldMT" w:cs="TimesNewRomanPS-BoldMT"/>
          <w:b/>
          <w:bCs/>
          <w:sz w:val="24"/>
          <w:szCs w:val="28"/>
        </w:rPr>
        <w:tab/>
      </w:r>
      <w:r w:rsidR="00CD6D9A">
        <w:rPr>
          <w:rFonts w:ascii="TimesNewRomanPS-BoldMT" w:hAnsi="TimesNewRomanPS-BoldMT" w:cs="TimesNewRomanPS-BoldMT"/>
          <w:b/>
          <w:bCs/>
          <w:sz w:val="24"/>
          <w:szCs w:val="28"/>
        </w:rPr>
        <w:tab/>
      </w:r>
      <w:r w:rsidRPr="00CD6D9A">
        <w:rPr>
          <w:rFonts w:ascii="TimesNewRomanPS-BoldMT" w:hAnsi="TimesNewRomanPS-BoldMT" w:cs="TimesNewRomanPS-BoldMT"/>
          <w:b/>
          <w:bCs/>
          <w:sz w:val="24"/>
          <w:szCs w:val="28"/>
        </w:rPr>
        <w:t xml:space="preserve"> ___________________________</w:t>
      </w:r>
    </w:p>
    <w:p w:rsidR="00770901" w:rsidRPr="00CD6D9A" w:rsidRDefault="00F018B0" w:rsidP="00F018B0">
      <w:pPr>
        <w:rPr>
          <w:sz w:val="18"/>
        </w:rPr>
      </w:pPr>
      <w:r w:rsidRPr="00CD6D9A">
        <w:rPr>
          <w:rFonts w:ascii="TimesNewRomanPS-BoldMT" w:hAnsi="TimesNewRomanPS-BoldMT" w:cs="TimesNewRomanPS-BoldMT"/>
          <w:bCs/>
          <w:sz w:val="24"/>
          <w:szCs w:val="28"/>
        </w:rPr>
        <w:t xml:space="preserve">Mentor’s Signature and Date </w:t>
      </w:r>
      <w:r w:rsidR="00CD6D9A">
        <w:rPr>
          <w:rFonts w:ascii="TimesNewRomanPS-BoldMT" w:hAnsi="TimesNewRomanPS-BoldMT" w:cs="TimesNewRomanPS-BoldMT"/>
          <w:bCs/>
          <w:sz w:val="24"/>
          <w:szCs w:val="28"/>
        </w:rPr>
        <w:tab/>
      </w:r>
      <w:r w:rsidR="00CD6D9A">
        <w:rPr>
          <w:rFonts w:ascii="TimesNewRomanPS-BoldMT" w:hAnsi="TimesNewRomanPS-BoldMT" w:cs="TimesNewRomanPS-BoldMT"/>
          <w:bCs/>
          <w:sz w:val="24"/>
          <w:szCs w:val="28"/>
        </w:rPr>
        <w:tab/>
      </w:r>
      <w:r w:rsidR="00CD6D9A">
        <w:rPr>
          <w:rFonts w:ascii="TimesNewRomanPS-BoldMT" w:hAnsi="TimesNewRomanPS-BoldMT" w:cs="TimesNewRomanPS-BoldMT"/>
          <w:bCs/>
          <w:sz w:val="24"/>
          <w:szCs w:val="28"/>
        </w:rPr>
        <w:tab/>
      </w:r>
      <w:r w:rsidRPr="00CD6D9A">
        <w:rPr>
          <w:rFonts w:ascii="TimesNewRomanPS-BoldMT" w:hAnsi="TimesNewRomanPS-BoldMT" w:cs="TimesNewRomanPS-BoldMT"/>
          <w:bCs/>
          <w:sz w:val="24"/>
          <w:szCs w:val="28"/>
        </w:rPr>
        <w:t>Mentee’s Signature and Date</w:t>
      </w:r>
    </w:p>
    <w:sectPr w:rsidR="00770901" w:rsidRPr="00CD6D9A" w:rsidSect="00CD6D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A9E"/>
    <w:multiLevelType w:val="hybridMultilevel"/>
    <w:tmpl w:val="D1E8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297"/>
    <w:multiLevelType w:val="hybridMultilevel"/>
    <w:tmpl w:val="CB1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8B0"/>
    <w:rsid w:val="002C4D93"/>
    <w:rsid w:val="004855AE"/>
    <w:rsid w:val="006728F3"/>
    <w:rsid w:val="006767D6"/>
    <w:rsid w:val="00770901"/>
    <w:rsid w:val="00C40655"/>
    <w:rsid w:val="00CD6D9A"/>
    <w:rsid w:val="00F018B0"/>
    <w:rsid w:val="00F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cculpepper</dc:creator>
  <cp:lastModifiedBy>cculpepper</cp:lastModifiedBy>
  <cp:revision>4</cp:revision>
  <dcterms:created xsi:type="dcterms:W3CDTF">2010-07-08T15:05:00Z</dcterms:created>
  <dcterms:modified xsi:type="dcterms:W3CDTF">2010-07-08T15:19:00Z</dcterms:modified>
</cp:coreProperties>
</file>